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58B" w:rsidRPr="00952FD0" w:rsidRDefault="00006E2E" w:rsidP="00EB454F">
      <w:pPr>
        <w:rPr>
          <w:rFonts w:cstheme="minorHAnsi"/>
          <w:b/>
        </w:rPr>
      </w:pPr>
      <w:r w:rsidRPr="00952FD0">
        <w:rPr>
          <w:rFonts w:cstheme="minorHAnsi"/>
          <w:b/>
        </w:rPr>
        <w:t>Cal Poly Humboldt Policy: Immunization Requirements</w:t>
      </w:r>
    </w:p>
    <w:p w:rsidR="00006E2E" w:rsidRPr="00A34F5B" w:rsidRDefault="00006E2E" w:rsidP="00EB454F">
      <w:pPr>
        <w:rPr>
          <w:rFonts w:cstheme="minorHAnsi"/>
        </w:rPr>
      </w:pPr>
      <w:r w:rsidRPr="00A34F5B">
        <w:rPr>
          <w:rFonts w:cstheme="minorHAnsi"/>
        </w:rPr>
        <w:t>Effective Date: March 15, 2023</w:t>
      </w:r>
      <w:r w:rsidR="00952FD0">
        <w:rPr>
          <w:rFonts w:cstheme="minorHAnsi"/>
        </w:rPr>
        <w:t xml:space="preserve"> </w:t>
      </w:r>
    </w:p>
    <w:p w:rsidR="00006E2E" w:rsidRPr="00A34F5B" w:rsidRDefault="00006E2E" w:rsidP="00EB454F">
      <w:pPr>
        <w:rPr>
          <w:rFonts w:cstheme="minorHAnsi"/>
        </w:rPr>
      </w:pPr>
      <w:r w:rsidRPr="00A34F5B">
        <w:rPr>
          <w:rFonts w:cstheme="minorHAnsi"/>
        </w:rPr>
        <w:t xml:space="preserve">Approved by: Dr. Tom Jackson, President of Cal Poly Humboldt </w:t>
      </w:r>
    </w:p>
    <w:p w:rsidR="00006E2E" w:rsidRPr="00A34F5B" w:rsidRDefault="00006E2E" w:rsidP="00EB454F">
      <w:pPr>
        <w:rPr>
          <w:rFonts w:cstheme="minorHAnsi"/>
        </w:rPr>
      </w:pPr>
    </w:p>
    <w:p w:rsidR="00006E2E" w:rsidRPr="00A34F5B" w:rsidRDefault="00006E2E" w:rsidP="00EB454F">
      <w:pPr>
        <w:rPr>
          <w:rFonts w:cstheme="minorHAnsi"/>
        </w:rPr>
      </w:pPr>
      <w:r w:rsidRPr="00A34F5B">
        <w:rPr>
          <w:rFonts w:cstheme="minorHAnsi"/>
        </w:rPr>
        <w:t xml:space="preserve">In accordance with the California State University Policy (EO 803) on immunization requirements, </w:t>
      </w:r>
      <w:r w:rsidR="00BC6B94" w:rsidRPr="00A34F5B">
        <w:rPr>
          <w:rFonts w:cstheme="minorHAnsi"/>
        </w:rPr>
        <w:t>Cal Poly Humboldt (Humboldt) has enacted the following requirements and recommendations.</w:t>
      </w:r>
      <w:r w:rsidR="00952FD0">
        <w:rPr>
          <w:rFonts w:cstheme="minorHAnsi"/>
        </w:rPr>
        <w:t xml:space="preserve">  This policy</w:t>
      </w:r>
      <w:r w:rsidR="00871B0F">
        <w:rPr>
          <w:rFonts w:cstheme="minorHAnsi"/>
        </w:rPr>
        <w:t xml:space="preserve"> applies to students enrolling fall 2023 and in subsequent semesters, and is applicable to students who enrolled in the spring 2023 semester.  </w:t>
      </w:r>
    </w:p>
    <w:p w:rsidR="00BC6B94" w:rsidRPr="004D7B0A" w:rsidRDefault="00BC6B94" w:rsidP="00EB454F">
      <w:pPr>
        <w:rPr>
          <w:rFonts w:cstheme="minorHAnsi"/>
          <w:b/>
        </w:rPr>
      </w:pPr>
    </w:p>
    <w:p w:rsidR="00BC6B94" w:rsidRPr="004D7B0A" w:rsidRDefault="00BC6B94" w:rsidP="00EB454F">
      <w:pPr>
        <w:rPr>
          <w:rFonts w:cstheme="minorHAnsi"/>
          <w:b/>
          <w:u w:val="single"/>
        </w:rPr>
      </w:pPr>
      <w:r w:rsidRPr="004D7B0A">
        <w:rPr>
          <w:rFonts w:cstheme="minorHAnsi"/>
          <w:b/>
          <w:u w:val="single"/>
        </w:rPr>
        <w:t>Required Immunizations</w:t>
      </w:r>
    </w:p>
    <w:p w:rsidR="00BC6B94" w:rsidRPr="00A34F5B" w:rsidRDefault="00BC6B94" w:rsidP="00EB454F">
      <w:pPr>
        <w:rPr>
          <w:rFonts w:cstheme="minorHAnsi"/>
        </w:rPr>
      </w:pPr>
      <w:r w:rsidRPr="00A34F5B">
        <w:rPr>
          <w:rFonts w:cstheme="minorHAnsi"/>
        </w:rPr>
        <w:t>Students must be current on the immunizations listed below.  These immunization requirements are a condition of enrollment at Humboldt fo</w:t>
      </w:r>
      <w:r w:rsidR="00E23EBC">
        <w:rPr>
          <w:rFonts w:cstheme="minorHAnsi"/>
        </w:rPr>
        <w:t>r students in all undergraduate and</w:t>
      </w:r>
      <w:r w:rsidRPr="00A34F5B">
        <w:rPr>
          <w:rFonts w:cstheme="minorHAnsi"/>
        </w:rPr>
        <w:t xml:space="preserve"> graduate</w:t>
      </w:r>
      <w:r w:rsidR="00E23EBC">
        <w:rPr>
          <w:rFonts w:cstheme="minorHAnsi"/>
        </w:rPr>
        <w:t xml:space="preserve"> students, students matriculated in self-support degree programs, and K-12 students participating in concurrent enrollment courses entering the CSU in or after </w:t>
      </w:r>
      <w:proofErr w:type="gramStart"/>
      <w:r w:rsidR="00E23EBC">
        <w:rPr>
          <w:rFonts w:cstheme="minorHAnsi"/>
        </w:rPr>
        <w:t>Fall</w:t>
      </w:r>
      <w:proofErr w:type="gramEnd"/>
      <w:r w:rsidR="00E23EBC">
        <w:rPr>
          <w:rFonts w:cstheme="minorHAnsi"/>
        </w:rPr>
        <w:t xml:space="preserve"> 2023.  </w:t>
      </w:r>
      <w:r w:rsidR="00822BC0">
        <w:rPr>
          <w:rFonts w:cstheme="minorHAnsi"/>
        </w:rPr>
        <w:t xml:space="preserve">(The policy does not apply to students </w:t>
      </w:r>
      <w:r w:rsidR="00871B0F">
        <w:rPr>
          <w:rFonts w:cstheme="minorHAnsi"/>
        </w:rPr>
        <w:t>enrolled in fully online programs or in non-credit, professional development / extended education programs</w:t>
      </w:r>
      <w:r w:rsidR="00822BC0">
        <w:rPr>
          <w:rFonts w:cstheme="minorHAnsi"/>
        </w:rPr>
        <w:t>).</w:t>
      </w:r>
    </w:p>
    <w:p w:rsidR="008E6DCE" w:rsidRPr="00A34F5B" w:rsidRDefault="008E6DCE" w:rsidP="00EB454F">
      <w:pPr>
        <w:rPr>
          <w:rFonts w:cstheme="minorHAnsi"/>
        </w:rPr>
      </w:pPr>
    </w:p>
    <w:p w:rsidR="008E6DCE" w:rsidRPr="004D7B0A" w:rsidRDefault="008E6DCE" w:rsidP="00EB454F">
      <w:pPr>
        <w:rPr>
          <w:rFonts w:cstheme="minorHAnsi"/>
          <w:b/>
        </w:rPr>
      </w:pPr>
      <w:r w:rsidRPr="004D7B0A">
        <w:rPr>
          <w:rFonts w:cstheme="minorHAnsi"/>
          <w:b/>
        </w:rPr>
        <w:t>For all Students:</w:t>
      </w:r>
    </w:p>
    <w:p w:rsidR="008E6DCE" w:rsidRDefault="008E6DCE" w:rsidP="008E6DCE">
      <w:pPr>
        <w:pStyle w:val="ListParagraph"/>
        <w:numPr>
          <w:ilvl w:val="0"/>
          <w:numId w:val="1"/>
        </w:numPr>
        <w:rPr>
          <w:rFonts w:cstheme="minorHAnsi"/>
        </w:rPr>
      </w:pPr>
      <w:r w:rsidRPr="00A34F5B">
        <w:rPr>
          <w:rFonts w:cstheme="minorHAnsi"/>
        </w:rPr>
        <w:t xml:space="preserve">Hepatitis </w:t>
      </w:r>
      <w:r w:rsidR="00A34F5B">
        <w:rPr>
          <w:rFonts w:cstheme="minorHAnsi"/>
        </w:rPr>
        <w:t>B (</w:t>
      </w:r>
      <w:proofErr w:type="spellStart"/>
      <w:r w:rsidR="00A34F5B">
        <w:rPr>
          <w:rFonts w:cstheme="minorHAnsi"/>
        </w:rPr>
        <w:t>Hep</w:t>
      </w:r>
      <w:proofErr w:type="spellEnd"/>
      <w:r w:rsidR="00A34F5B">
        <w:rPr>
          <w:rFonts w:cstheme="minorHAnsi"/>
        </w:rPr>
        <w:t xml:space="preserve"> B): Students age 18 years and younger should complete the series.  Based on the type of vaccine, the series may be two or three doses. (CA Health &amp; Safety Code, Sec. 120390.5)</w:t>
      </w:r>
    </w:p>
    <w:p w:rsidR="004D7B0A" w:rsidRPr="004D7B0A" w:rsidRDefault="004D7B0A" w:rsidP="004D7B0A">
      <w:pPr>
        <w:pStyle w:val="ListParagraph"/>
        <w:numPr>
          <w:ilvl w:val="0"/>
          <w:numId w:val="1"/>
        </w:numPr>
        <w:rPr>
          <w:rFonts w:cstheme="minorHAnsi"/>
        </w:rPr>
      </w:pPr>
      <w:r w:rsidRPr="00A34F5B">
        <w:rPr>
          <w:rFonts w:cstheme="minorHAnsi"/>
        </w:rPr>
        <w:t>Measles, Mumps, Rubella (MMR): Two doses with the first dose</w:t>
      </w:r>
      <w:r>
        <w:rPr>
          <w:rFonts w:cstheme="minorHAnsi"/>
        </w:rPr>
        <w:t xml:space="preserve"> on or after the first birthday</w:t>
      </w:r>
      <w:r w:rsidRPr="00A34F5B">
        <w:rPr>
          <w:rFonts w:cstheme="minorHAnsi"/>
        </w:rPr>
        <w:t xml:space="preserve"> OR a positive titer (laboratory evidence of immunity to disease).</w:t>
      </w:r>
    </w:p>
    <w:p w:rsidR="008E6DCE" w:rsidRDefault="008E6DCE" w:rsidP="008E6DCE">
      <w:pPr>
        <w:pStyle w:val="ListParagraph"/>
        <w:numPr>
          <w:ilvl w:val="0"/>
          <w:numId w:val="1"/>
        </w:numPr>
        <w:rPr>
          <w:rFonts w:cstheme="minorHAnsi"/>
        </w:rPr>
      </w:pPr>
      <w:r w:rsidRPr="00A34F5B">
        <w:rPr>
          <w:rFonts w:cstheme="minorHAnsi"/>
        </w:rPr>
        <w:t>Varicella (chickenpox): Two doses with the first dose</w:t>
      </w:r>
      <w:r w:rsidR="00A34F5B">
        <w:rPr>
          <w:rFonts w:cstheme="minorHAnsi"/>
        </w:rPr>
        <w:t xml:space="preserve"> on or after the first birthday</w:t>
      </w:r>
      <w:r w:rsidRPr="00A34F5B">
        <w:rPr>
          <w:rFonts w:cstheme="minorHAnsi"/>
        </w:rPr>
        <w:t xml:space="preserve"> OR a positive titer (laboratory evidence of immunity to disease).  Note: a personal history of having had chickenpox does not meet compliance.</w:t>
      </w:r>
    </w:p>
    <w:p w:rsidR="008E6DCE" w:rsidRPr="004D7B0A" w:rsidRDefault="008E6DCE" w:rsidP="008E6DCE">
      <w:pPr>
        <w:rPr>
          <w:rFonts w:cstheme="minorHAnsi"/>
          <w:b/>
        </w:rPr>
      </w:pPr>
      <w:r w:rsidRPr="004D7B0A">
        <w:rPr>
          <w:rFonts w:cstheme="minorHAnsi"/>
          <w:b/>
        </w:rPr>
        <w:t>For Students living in Cal Poly Humboldt Residential Housing</w:t>
      </w:r>
      <w:r w:rsidR="004D7B0A" w:rsidRPr="004D7B0A">
        <w:rPr>
          <w:rFonts w:cstheme="minorHAnsi"/>
          <w:b/>
        </w:rPr>
        <w:t>:</w:t>
      </w:r>
    </w:p>
    <w:p w:rsidR="008E6DCE" w:rsidRPr="00A34F5B" w:rsidRDefault="008E6DCE" w:rsidP="008E6DCE">
      <w:pPr>
        <w:pStyle w:val="ListParagraph"/>
        <w:numPr>
          <w:ilvl w:val="0"/>
          <w:numId w:val="2"/>
        </w:numPr>
        <w:rPr>
          <w:rFonts w:cstheme="minorHAnsi"/>
        </w:rPr>
      </w:pPr>
      <w:r w:rsidRPr="00A34F5B">
        <w:rPr>
          <w:rFonts w:cstheme="minorHAnsi"/>
        </w:rPr>
        <w:t>COVID-19</w:t>
      </w:r>
      <w:r w:rsidR="00A34F5B" w:rsidRPr="00A34F5B">
        <w:rPr>
          <w:rFonts w:cstheme="minorHAnsi"/>
        </w:rPr>
        <w:t xml:space="preserve">: Completion of a primary COVID-19 vaccine series </w:t>
      </w:r>
      <w:r w:rsidR="00A34F5B">
        <w:rPr>
          <w:rFonts w:cstheme="minorHAnsi"/>
        </w:rPr>
        <w:t xml:space="preserve">(Two </w:t>
      </w:r>
      <w:proofErr w:type="spellStart"/>
      <w:r w:rsidR="00A34F5B">
        <w:rPr>
          <w:rFonts w:cstheme="minorHAnsi"/>
        </w:rPr>
        <w:t>Moderna</w:t>
      </w:r>
      <w:proofErr w:type="spellEnd"/>
      <w:r w:rsidR="00A34F5B">
        <w:rPr>
          <w:rFonts w:cstheme="minorHAnsi"/>
        </w:rPr>
        <w:t xml:space="preserve"> or Pfizer vaccines or a single dose of Johnson and Johnson) </w:t>
      </w:r>
      <w:r w:rsidR="00A34F5B" w:rsidRPr="00A34F5B">
        <w:rPr>
          <w:rFonts w:cstheme="minorHAnsi"/>
        </w:rPr>
        <w:t>plus a booster if eligible for one</w:t>
      </w:r>
      <w:r w:rsidR="00A34F5B">
        <w:rPr>
          <w:rFonts w:cstheme="minorHAnsi"/>
        </w:rPr>
        <w:t>.</w:t>
      </w:r>
    </w:p>
    <w:p w:rsidR="008E6DCE" w:rsidRDefault="008E6DCE" w:rsidP="008E6DCE">
      <w:pPr>
        <w:pStyle w:val="ListParagraph"/>
        <w:numPr>
          <w:ilvl w:val="0"/>
          <w:numId w:val="2"/>
        </w:numPr>
        <w:rPr>
          <w:rFonts w:cstheme="minorHAnsi"/>
        </w:rPr>
      </w:pPr>
      <w:r w:rsidRPr="00A34F5B">
        <w:rPr>
          <w:rFonts w:cstheme="minorHAnsi"/>
        </w:rPr>
        <w:t xml:space="preserve">Meningococcal </w:t>
      </w:r>
      <w:r w:rsidR="00D5748C">
        <w:rPr>
          <w:rFonts w:cstheme="minorHAnsi"/>
        </w:rPr>
        <w:t>Conjugate</w:t>
      </w:r>
      <w:r w:rsidRPr="00A34F5B">
        <w:rPr>
          <w:rFonts w:cstheme="minorHAnsi"/>
        </w:rPr>
        <w:t xml:space="preserve"> (</w:t>
      </w:r>
      <w:proofErr w:type="spellStart"/>
      <w:r w:rsidRPr="00A34F5B">
        <w:rPr>
          <w:rFonts w:cstheme="minorHAnsi"/>
        </w:rPr>
        <w:t>MenACWY</w:t>
      </w:r>
      <w:proofErr w:type="spellEnd"/>
      <w:r w:rsidRPr="00A34F5B">
        <w:rPr>
          <w:rFonts w:cstheme="minorHAnsi"/>
        </w:rPr>
        <w:t>)</w:t>
      </w:r>
      <w:r w:rsidR="00D5748C">
        <w:rPr>
          <w:rFonts w:cstheme="minorHAnsi"/>
        </w:rPr>
        <w:t xml:space="preserve">: </w:t>
      </w:r>
      <w:r w:rsidR="00B6388C">
        <w:rPr>
          <w:rFonts w:cstheme="minorHAnsi"/>
        </w:rPr>
        <w:t xml:space="preserve">At least one dose on or after age 16 for all students who are ages 21 years or younger.  </w:t>
      </w:r>
      <w:bookmarkStart w:id="0" w:name="_GoBack"/>
      <w:bookmarkEnd w:id="0"/>
    </w:p>
    <w:p w:rsidR="00A34F5B" w:rsidRDefault="00A34F5B" w:rsidP="00A34F5B">
      <w:pPr>
        <w:pStyle w:val="ListParagraph"/>
        <w:rPr>
          <w:rFonts w:cstheme="minorHAnsi"/>
        </w:rPr>
      </w:pPr>
    </w:p>
    <w:p w:rsidR="00A34F5B" w:rsidRPr="004D7B0A" w:rsidRDefault="004D7B0A" w:rsidP="00A34F5B">
      <w:pPr>
        <w:rPr>
          <w:rFonts w:cstheme="minorHAnsi"/>
          <w:b/>
          <w:u w:val="single"/>
        </w:rPr>
      </w:pPr>
      <w:r>
        <w:rPr>
          <w:rFonts w:cstheme="minorHAnsi"/>
          <w:b/>
          <w:u w:val="single"/>
        </w:rPr>
        <w:t>Recommended Immunizations</w:t>
      </w:r>
    </w:p>
    <w:p w:rsidR="00822BC0" w:rsidRDefault="00822BC0" w:rsidP="00A34F5B">
      <w:pPr>
        <w:pStyle w:val="ListParagraph"/>
        <w:numPr>
          <w:ilvl w:val="0"/>
          <w:numId w:val="3"/>
        </w:numPr>
        <w:rPr>
          <w:rFonts w:cstheme="minorHAnsi"/>
        </w:rPr>
      </w:pPr>
      <w:r>
        <w:rPr>
          <w:rFonts w:cstheme="minorHAnsi"/>
        </w:rPr>
        <w:t xml:space="preserve">COVID-19: All students, including those living </w:t>
      </w:r>
      <w:r w:rsidR="00D606E5">
        <w:rPr>
          <w:rFonts w:cstheme="minorHAnsi"/>
        </w:rPr>
        <w:t>off-campus, including annual boosters.</w:t>
      </w:r>
    </w:p>
    <w:p w:rsidR="00822BC0" w:rsidRDefault="00822BC0" w:rsidP="00A34F5B">
      <w:pPr>
        <w:pStyle w:val="ListParagraph"/>
        <w:numPr>
          <w:ilvl w:val="0"/>
          <w:numId w:val="3"/>
        </w:numPr>
        <w:rPr>
          <w:rFonts w:cstheme="minorHAnsi"/>
        </w:rPr>
      </w:pPr>
      <w:r>
        <w:rPr>
          <w:rFonts w:cstheme="minorHAnsi"/>
        </w:rPr>
        <w:t>Hepatitis A (</w:t>
      </w:r>
      <w:proofErr w:type="spellStart"/>
      <w:r>
        <w:rPr>
          <w:rFonts w:cstheme="minorHAnsi"/>
        </w:rPr>
        <w:t>Hep</w:t>
      </w:r>
      <w:proofErr w:type="spellEnd"/>
      <w:r>
        <w:rPr>
          <w:rFonts w:cstheme="minorHAnsi"/>
        </w:rPr>
        <w:t xml:space="preserve"> A): All students regardless of age.</w:t>
      </w:r>
    </w:p>
    <w:p w:rsidR="00822BC0" w:rsidRDefault="00822BC0" w:rsidP="00A34F5B">
      <w:pPr>
        <w:pStyle w:val="ListParagraph"/>
        <w:numPr>
          <w:ilvl w:val="0"/>
          <w:numId w:val="3"/>
        </w:numPr>
        <w:rPr>
          <w:rFonts w:cstheme="minorHAnsi"/>
        </w:rPr>
      </w:pPr>
      <w:r>
        <w:rPr>
          <w:rFonts w:cstheme="minorHAnsi"/>
        </w:rPr>
        <w:t>Hepatitis B (</w:t>
      </w:r>
      <w:proofErr w:type="spellStart"/>
      <w:r>
        <w:rPr>
          <w:rFonts w:cstheme="minorHAnsi"/>
        </w:rPr>
        <w:t>Hep</w:t>
      </w:r>
      <w:proofErr w:type="spellEnd"/>
      <w:r>
        <w:rPr>
          <w:rFonts w:cstheme="minorHAnsi"/>
        </w:rPr>
        <w:t xml:space="preserve"> B): Students that are age 19 and older.</w:t>
      </w:r>
    </w:p>
    <w:p w:rsidR="00822BC0" w:rsidRDefault="00822BC0" w:rsidP="00A34F5B">
      <w:pPr>
        <w:pStyle w:val="ListParagraph"/>
        <w:numPr>
          <w:ilvl w:val="0"/>
          <w:numId w:val="3"/>
        </w:numPr>
        <w:rPr>
          <w:rFonts w:cstheme="minorHAnsi"/>
        </w:rPr>
      </w:pPr>
      <w:r>
        <w:rPr>
          <w:rFonts w:cstheme="minorHAnsi"/>
        </w:rPr>
        <w:t>Human papillomavirus (HPV): All students through age 45 years.</w:t>
      </w:r>
    </w:p>
    <w:p w:rsidR="00822BC0" w:rsidRDefault="00822BC0" w:rsidP="00A34F5B">
      <w:pPr>
        <w:pStyle w:val="ListParagraph"/>
        <w:numPr>
          <w:ilvl w:val="0"/>
          <w:numId w:val="3"/>
        </w:numPr>
        <w:rPr>
          <w:rFonts w:cstheme="minorHAnsi"/>
        </w:rPr>
      </w:pPr>
      <w:r>
        <w:rPr>
          <w:rFonts w:cstheme="minorHAnsi"/>
        </w:rPr>
        <w:t>Influenza (flu): Annual vaccine for all students regardless of age.</w:t>
      </w:r>
    </w:p>
    <w:p w:rsidR="00D606E5" w:rsidRPr="00D5748C" w:rsidRDefault="00952FD0" w:rsidP="00D5748C">
      <w:pPr>
        <w:pStyle w:val="ListParagraph"/>
        <w:numPr>
          <w:ilvl w:val="0"/>
          <w:numId w:val="3"/>
        </w:numPr>
        <w:rPr>
          <w:rFonts w:cstheme="minorHAnsi"/>
        </w:rPr>
      </w:pPr>
      <w:r>
        <w:rPr>
          <w:rFonts w:cstheme="minorHAnsi"/>
        </w:rPr>
        <w:lastRenderedPageBreak/>
        <w:t>Meningococcal B (Meningitis B): Complete series, may be two or three doses</w:t>
      </w:r>
      <w:r w:rsidR="00023D8D">
        <w:rPr>
          <w:rFonts w:cstheme="minorHAnsi"/>
        </w:rPr>
        <w:t>, for students age 16 through 23</w:t>
      </w:r>
      <w:r>
        <w:rPr>
          <w:rFonts w:cstheme="minorHAnsi"/>
        </w:rPr>
        <w:t xml:space="preserve"> years.</w:t>
      </w:r>
    </w:p>
    <w:p w:rsidR="00D606E5" w:rsidRPr="00D5748C" w:rsidRDefault="00D5748C" w:rsidP="00D5748C">
      <w:pPr>
        <w:pStyle w:val="ListParagraph"/>
        <w:numPr>
          <w:ilvl w:val="0"/>
          <w:numId w:val="2"/>
        </w:numPr>
        <w:rPr>
          <w:rFonts w:cstheme="minorHAnsi"/>
        </w:rPr>
      </w:pPr>
      <w:r w:rsidRPr="00A34F5B">
        <w:rPr>
          <w:rFonts w:cstheme="minorHAnsi"/>
        </w:rPr>
        <w:t xml:space="preserve">Meningococcal </w:t>
      </w:r>
      <w:r>
        <w:rPr>
          <w:rFonts w:cstheme="minorHAnsi"/>
        </w:rPr>
        <w:t xml:space="preserve">Conjugate </w:t>
      </w:r>
      <w:r w:rsidRPr="00A34F5B">
        <w:rPr>
          <w:rFonts w:cstheme="minorHAnsi"/>
        </w:rPr>
        <w:t>(</w:t>
      </w:r>
      <w:proofErr w:type="spellStart"/>
      <w:r w:rsidRPr="00A34F5B">
        <w:rPr>
          <w:rFonts w:cstheme="minorHAnsi"/>
        </w:rPr>
        <w:t>MenACWY</w:t>
      </w:r>
      <w:proofErr w:type="spellEnd"/>
      <w:r w:rsidRPr="00A34F5B">
        <w:rPr>
          <w:rFonts w:cstheme="minorHAnsi"/>
        </w:rPr>
        <w:t>)</w:t>
      </w:r>
      <w:r>
        <w:rPr>
          <w:rFonts w:cstheme="minorHAnsi"/>
        </w:rPr>
        <w:t>:</w:t>
      </w:r>
      <w:r w:rsidRPr="00A34F5B">
        <w:rPr>
          <w:rFonts w:cstheme="minorHAnsi"/>
        </w:rPr>
        <w:t xml:space="preserve"> for </w:t>
      </w:r>
      <w:r>
        <w:rPr>
          <w:rFonts w:cstheme="minorHAnsi"/>
        </w:rPr>
        <w:t xml:space="preserve">all </w:t>
      </w:r>
      <w:r w:rsidRPr="00A34F5B">
        <w:rPr>
          <w:rFonts w:cstheme="minorHAnsi"/>
        </w:rPr>
        <w:t>those entering colleg</w:t>
      </w:r>
      <w:r>
        <w:rPr>
          <w:rFonts w:cstheme="minorHAnsi"/>
        </w:rPr>
        <w:t>e</w:t>
      </w:r>
      <w:r w:rsidR="00023D8D">
        <w:rPr>
          <w:rFonts w:cstheme="minorHAnsi"/>
        </w:rPr>
        <w:t xml:space="preserve"> between 16 and 23 years of age</w:t>
      </w:r>
      <w:r>
        <w:rPr>
          <w:rFonts w:cstheme="minorHAnsi"/>
        </w:rPr>
        <w:t xml:space="preserve"> regardless of housing status (on or off campus); at least one dose at age 16 or older.  </w:t>
      </w:r>
    </w:p>
    <w:p w:rsidR="00822BC0" w:rsidRDefault="00822BC0" w:rsidP="00A34F5B">
      <w:pPr>
        <w:pStyle w:val="ListParagraph"/>
        <w:numPr>
          <w:ilvl w:val="0"/>
          <w:numId w:val="3"/>
        </w:numPr>
        <w:rPr>
          <w:rFonts w:cstheme="minorHAnsi"/>
        </w:rPr>
      </w:pPr>
      <w:r>
        <w:rPr>
          <w:rFonts w:cstheme="minorHAnsi"/>
        </w:rPr>
        <w:t>Pneumococcal: For all students age 65 and older and for students with certain medical conditions (e.g., severe asthma, diabetes, chronic liver or kidney disease).</w:t>
      </w:r>
    </w:p>
    <w:p w:rsidR="00822BC0" w:rsidRDefault="00822BC0" w:rsidP="00A34F5B">
      <w:pPr>
        <w:pStyle w:val="ListParagraph"/>
        <w:numPr>
          <w:ilvl w:val="0"/>
          <w:numId w:val="3"/>
        </w:numPr>
        <w:rPr>
          <w:rFonts w:cstheme="minorHAnsi"/>
        </w:rPr>
      </w:pPr>
      <w:r>
        <w:rPr>
          <w:rFonts w:cstheme="minorHAnsi"/>
        </w:rPr>
        <w:t>Poliovirus (polio): Regardless of age</w:t>
      </w:r>
      <w:r w:rsidR="005C4624">
        <w:rPr>
          <w:rFonts w:cstheme="minorHAnsi"/>
        </w:rPr>
        <w:t xml:space="preserve">, if the series </w:t>
      </w:r>
      <w:proofErr w:type="gramStart"/>
      <w:r w:rsidR="005C4624">
        <w:rPr>
          <w:rFonts w:cstheme="minorHAnsi"/>
        </w:rPr>
        <w:t>was not completed</w:t>
      </w:r>
      <w:proofErr w:type="gramEnd"/>
      <w:r w:rsidR="005C4624">
        <w:rPr>
          <w:rFonts w:cstheme="minorHAnsi"/>
        </w:rPr>
        <w:t xml:space="preserve"> as a child</w:t>
      </w:r>
      <w:r>
        <w:rPr>
          <w:rFonts w:cstheme="minorHAnsi"/>
        </w:rPr>
        <w:t>.</w:t>
      </w:r>
    </w:p>
    <w:p w:rsidR="00A34F5B" w:rsidRDefault="00822BC0" w:rsidP="00A34F5B">
      <w:pPr>
        <w:pStyle w:val="ListParagraph"/>
        <w:numPr>
          <w:ilvl w:val="0"/>
          <w:numId w:val="3"/>
        </w:numPr>
        <w:rPr>
          <w:rFonts w:cstheme="minorHAnsi"/>
        </w:rPr>
      </w:pPr>
      <w:r>
        <w:rPr>
          <w:rFonts w:cstheme="minorHAnsi"/>
        </w:rPr>
        <w:t xml:space="preserve">Tetanus, diphtheria </w:t>
      </w:r>
      <w:r w:rsidR="00A34F5B">
        <w:rPr>
          <w:rFonts w:cstheme="minorHAnsi"/>
        </w:rPr>
        <w:t>and pertussis (</w:t>
      </w:r>
      <w:proofErr w:type="spellStart"/>
      <w:r w:rsidR="00A34F5B">
        <w:rPr>
          <w:rFonts w:cstheme="minorHAnsi"/>
        </w:rPr>
        <w:t>Tdap</w:t>
      </w:r>
      <w:proofErr w:type="spellEnd"/>
      <w:r w:rsidR="00A34F5B">
        <w:rPr>
          <w:rFonts w:cstheme="minorHAnsi"/>
        </w:rPr>
        <w:t>): One dose within the last ten years.</w:t>
      </w:r>
    </w:p>
    <w:p w:rsidR="00D5748C" w:rsidRDefault="00D5748C" w:rsidP="00A34F5B">
      <w:pPr>
        <w:pStyle w:val="ListParagraph"/>
        <w:numPr>
          <w:ilvl w:val="0"/>
          <w:numId w:val="3"/>
        </w:numPr>
        <w:rPr>
          <w:rFonts w:cstheme="minorHAnsi"/>
        </w:rPr>
      </w:pPr>
      <w:r>
        <w:rPr>
          <w:rFonts w:cstheme="minorHAnsi"/>
        </w:rPr>
        <w:t>Travel immunizations as pertinent based on destination.</w:t>
      </w:r>
    </w:p>
    <w:p w:rsidR="00A34F5B" w:rsidRDefault="00A34F5B" w:rsidP="00A34F5B">
      <w:pPr>
        <w:pStyle w:val="ListParagraph"/>
        <w:numPr>
          <w:ilvl w:val="0"/>
          <w:numId w:val="3"/>
        </w:numPr>
        <w:rPr>
          <w:rFonts w:cstheme="minorHAnsi"/>
        </w:rPr>
      </w:pPr>
      <w:r>
        <w:rPr>
          <w:rFonts w:cstheme="minorHAnsi"/>
        </w:rPr>
        <w:t>Screening / Risk Assessment for Tuberculosis (TB): We recommend that all incoming students complete a risk questionnaire</w:t>
      </w:r>
      <w:r w:rsidR="00822BC0">
        <w:rPr>
          <w:rFonts w:cstheme="minorHAnsi"/>
        </w:rPr>
        <w:t>.  Those who are at higher risk for TB infection (as determined by the screening) should undergo testing for TB infection within 30 days of university entry.</w:t>
      </w:r>
    </w:p>
    <w:p w:rsidR="00822BC0" w:rsidRDefault="00822BC0" w:rsidP="00822BC0">
      <w:pPr>
        <w:rPr>
          <w:rFonts w:cstheme="minorHAnsi"/>
        </w:rPr>
      </w:pPr>
    </w:p>
    <w:p w:rsidR="004D7B0A" w:rsidRDefault="004D7B0A" w:rsidP="00822BC0">
      <w:pPr>
        <w:rPr>
          <w:rFonts w:cstheme="minorHAnsi"/>
        </w:rPr>
      </w:pPr>
      <w:r w:rsidRPr="00952FD0">
        <w:rPr>
          <w:rFonts w:cstheme="minorHAnsi"/>
          <w:b/>
          <w:u w:val="single"/>
        </w:rPr>
        <w:t>Exemptions</w:t>
      </w:r>
      <w:r w:rsidRPr="00952FD0">
        <w:rPr>
          <w:rFonts w:cstheme="minorHAnsi"/>
          <w:u w:val="single"/>
        </w:rPr>
        <w:br/>
      </w:r>
      <w:r>
        <w:rPr>
          <w:rFonts w:cstheme="minorHAnsi"/>
        </w:rPr>
        <w:t>Students may submit exemptions to the abov</w:t>
      </w:r>
      <w:r w:rsidR="00D5748C">
        <w:rPr>
          <w:rFonts w:cstheme="minorHAnsi"/>
        </w:rPr>
        <w:t xml:space="preserve">e immunization requirements based on </w:t>
      </w:r>
      <w:r>
        <w:rPr>
          <w:rFonts w:cstheme="minorHAnsi"/>
        </w:rPr>
        <w:t xml:space="preserve">medical contraindications </w:t>
      </w:r>
      <w:r w:rsidR="00D5748C">
        <w:rPr>
          <w:rFonts w:cstheme="minorHAnsi"/>
        </w:rPr>
        <w:t>and/</w:t>
      </w:r>
      <w:r>
        <w:rPr>
          <w:rFonts w:cstheme="minorHAnsi"/>
        </w:rPr>
        <w:t>or sincerely held religious beliefs that run counter to all or certain vaccinations.</w:t>
      </w:r>
    </w:p>
    <w:p w:rsidR="004D7B0A" w:rsidRDefault="004D7B0A" w:rsidP="00822BC0">
      <w:pPr>
        <w:rPr>
          <w:rFonts w:cstheme="minorHAnsi"/>
        </w:rPr>
      </w:pPr>
    </w:p>
    <w:p w:rsidR="004D7B0A" w:rsidRPr="00952FD0" w:rsidRDefault="00D606E5" w:rsidP="00822BC0">
      <w:pPr>
        <w:rPr>
          <w:rFonts w:cstheme="minorHAnsi"/>
          <w:b/>
          <w:u w:val="single"/>
        </w:rPr>
      </w:pPr>
      <w:r>
        <w:rPr>
          <w:rFonts w:cstheme="minorHAnsi"/>
          <w:b/>
          <w:u w:val="single"/>
        </w:rPr>
        <w:t xml:space="preserve">Enrollment Requirement: </w:t>
      </w:r>
      <w:r w:rsidR="004D7B0A" w:rsidRPr="00952FD0">
        <w:rPr>
          <w:rFonts w:cstheme="minorHAnsi"/>
          <w:b/>
          <w:u w:val="single"/>
        </w:rPr>
        <w:t>Submission</w:t>
      </w:r>
      <w:r w:rsidR="00193833" w:rsidRPr="00952FD0">
        <w:rPr>
          <w:rFonts w:cstheme="minorHAnsi"/>
          <w:b/>
          <w:u w:val="single"/>
        </w:rPr>
        <w:t xml:space="preserve"> of Materials</w:t>
      </w:r>
    </w:p>
    <w:p w:rsidR="004D7B0A" w:rsidRDefault="004D7B0A" w:rsidP="00822BC0">
      <w:pPr>
        <w:rPr>
          <w:rFonts w:cstheme="minorHAnsi"/>
        </w:rPr>
      </w:pPr>
      <w:r>
        <w:rPr>
          <w:rFonts w:cstheme="minorHAnsi"/>
        </w:rPr>
        <w:t xml:space="preserve">Students must complete the Student Health and Wellbeing </w:t>
      </w:r>
      <w:r w:rsidR="00952FD0">
        <w:rPr>
          <w:rFonts w:cstheme="minorHAnsi"/>
        </w:rPr>
        <w:t xml:space="preserve">Services (SHWS) </w:t>
      </w:r>
      <w:r>
        <w:rPr>
          <w:rFonts w:cstheme="minorHAnsi"/>
        </w:rPr>
        <w:t>Questionnaire about their immunization status</w:t>
      </w:r>
      <w:r w:rsidR="00193833">
        <w:rPr>
          <w:rFonts w:cstheme="minorHAnsi"/>
        </w:rPr>
        <w:t xml:space="preserve"> (including exemption requests)</w:t>
      </w:r>
      <w:r>
        <w:rPr>
          <w:rFonts w:cstheme="minorHAnsi"/>
        </w:rPr>
        <w:t xml:space="preserve">, as well as </w:t>
      </w:r>
      <w:r w:rsidR="00E35729">
        <w:rPr>
          <w:rFonts w:cstheme="minorHAnsi"/>
        </w:rPr>
        <w:t xml:space="preserve">upload </w:t>
      </w:r>
      <w:r>
        <w:rPr>
          <w:rFonts w:cstheme="minorHAnsi"/>
        </w:rPr>
        <w:t xml:space="preserve">any </w:t>
      </w:r>
      <w:r w:rsidR="00193833">
        <w:rPr>
          <w:rFonts w:cstheme="minorHAnsi"/>
        </w:rPr>
        <w:t>supporting</w:t>
      </w:r>
      <w:r>
        <w:rPr>
          <w:rFonts w:cstheme="minorHAnsi"/>
        </w:rPr>
        <w:t xml:space="preserve"> documentation, through the Cal Poly Humboldt </w:t>
      </w:r>
      <w:r w:rsidR="00193833">
        <w:rPr>
          <w:rFonts w:cstheme="minorHAnsi"/>
        </w:rPr>
        <w:t xml:space="preserve">Student </w:t>
      </w:r>
      <w:r>
        <w:rPr>
          <w:rFonts w:cstheme="minorHAnsi"/>
        </w:rPr>
        <w:t xml:space="preserve">Health Portal no later </w:t>
      </w:r>
      <w:r w:rsidR="00871B0F">
        <w:rPr>
          <w:rFonts w:cstheme="minorHAnsi"/>
        </w:rPr>
        <w:t>than September 20 for students entering the fall semester, and February 20 for students starting in the spring semester.</w:t>
      </w:r>
      <w:r w:rsidR="00193833">
        <w:rPr>
          <w:rFonts w:cstheme="minorHAnsi"/>
        </w:rPr>
        <w:t xml:space="preserve"> </w:t>
      </w:r>
      <w:r w:rsidR="00871B0F">
        <w:rPr>
          <w:rFonts w:cstheme="minorHAnsi"/>
        </w:rPr>
        <w:t xml:space="preserve"> </w:t>
      </w:r>
      <w:r w:rsidR="005C4624">
        <w:rPr>
          <w:rFonts w:cstheme="minorHAnsi"/>
        </w:rPr>
        <w:t>If needed, p</w:t>
      </w:r>
      <w:r w:rsidR="00E35729">
        <w:rPr>
          <w:rFonts w:cstheme="minorHAnsi"/>
        </w:rPr>
        <w:t xml:space="preserve">lease find the form for medical exemptions on the </w:t>
      </w:r>
      <w:hyperlink r:id="rId7" w:history="1">
        <w:r w:rsidR="00E35729" w:rsidRPr="00E35729">
          <w:rPr>
            <w:rStyle w:val="Hyperlink"/>
            <w:rFonts w:cstheme="minorHAnsi"/>
          </w:rPr>
          <w:t>SHWS immunization page</w:t>
        </w:r>
      </w:hyperlink>
      <w:r w:rsidR="00E35729">
        <w:rPr>
          <w:rFonts w:cstheme="minorHAnsi"/>
        </w:rPr>
        <w:t>.</w:t>
      </w:r>
      <w:r w:rsidR="00952FD0">
        <w:rPr>
          <w:rFonts w:cstheme="minorHAnsi"/>
        </w:rPr>
        <w:t xml:space="preserve">  SHWS will be responsible for tracking immunization status and communicating issues of non-compliance with </w:t>
      </w:r>
      <w:proofErr w:type="gramStart"/>
      <w:r w:rsidR="00D606E5">
        <w:rPr>
          <w:rFonts w:cstheme="minorHAnsi"/>
        </w:rPr>
        <w:t xml:space="preserve">the university’s </w:t>
      </w:r>
      <w:r w:rsidR="00952FD0">
        <w:rPr>
          <w:rFonts w:cstheme="minorHAnsi"/>
        </w:rPr>
        <w:t>Registrar’s</w:t>
      </w:r>
      <w:proofErr w:type="gramEnd"/>
      <w:r w:rsidR="00952FD0">
        <w:rPr>
          <w:rFonts w:cstheme="minorHAnsi"/>
        </w:rPr>
        <w:t xml:space="preserve"> office.</w:t>
      </w:r>
    </w:p>
    <w:p w:rsidR="00193833" w:rsidRDefault="00193833" w:rsidP="00822BC0">
      <w:pPr>
        <w:rPr>
          <w:rFonts w:cstheme="minorHAnsi"/>
        </w:rPr>
      </w:pPr>
    </w:p>
    <w:p w:rsidR="00193833" w:rsidRPr="00952FD0" w:rsidRDefault="00E35729" w:rsidP="00822BC0">
      <w:pPr>
        <w:rPr>
          <w:rFonts w:cstheme="minorHAnsi"/>
          <w:b/>
          <w:u w:val="single"/>
        </w:rPr>
      </w:pPr>
      <w:r w:rsidRPr="00952FD0">
        <w:rPr>
          <w:rFonts w:cstheme="minorHAnsi"/>
          <w:b/>
          <w:u w:val="single"/>
        </w:rPr>
        <w:t>Holds</w:t>
      </w:r>
    </w:p>
    <w:p w:rsidR="00E35729" w:rsidRDefault="00E35729" w:rsidP="00822BC0">
      <w:pPr>
        <w:rPr>
          <w:rFonts w:cstheme="minorHAnsi"/>
        </w:rPr>
      </w:pPr>
      <w:r>
        <w:rPr>
          <w:rFonts w:cstheme="minorHAnsi"/>
        </w:rPr>
        <w:t>Student</w:t>
      </w:r>
      <w:r w:rsidR="00D606E5">
        <w:rPr>
          <w:rFonts w:cstheme="minorHAnsi"/>
        </w:rPr>
        <w:t>s that are not compliant with Humboldt’s</w:t>
      </w:r>
      <w:r>
        <w:rPr>
          <w:rFonts w:cstheme="minorHAnsi"/>
        </w:rPr>
        <w:t xml:space="preserve"> immunization requirements will have their student account put on a “hold.”  </w:t>
      </w:r>
      <w:r w:rsidRPr="00871B0F">
        <w:rPr>
          <w:rFonts w:cstheme="minorHAnsi"/>
          <w:u w:val="single"/>
        </w:rPr>
        <w:t>This hold will apply to the second semester of enrollment and will prevent registration for classes</w:t>
      </w:r>
      <w:r>
        <w:rPr>
          <w:rFonts w:cstheme="minorHAnsi"/>
        </w:rPr>
        <w:t xml:space="preserve"> in the second and future semesters.  Holds </w:t>
      </w:r>
      <w:proofErr w:type="gramStart"/>
      <w:r>
        <w:rPr>
          <w:rFonts w:cstheme="minorHAnsi"/>
        </w:rPr>
        <w:t>will be removed</w:t>
      </w:r>
      <w:proofErr w:type="gramEnd"/>
      <w:r>
        <w:rPr>
          <w:rFonts w:cstheme="minorHAnsi"/>
        </w:rPr>
        <w:t xml:space="preserve"> once a student </w:t>
      </w:r>
      <w:r w:rsidR="00952FD0">
        <w:rPr>
          <w:rFonts w:cstheme="minorHAnsi"/>
        </w:rPr>
        <w:t>complies</w:t>
      </w:r>
      <w:r>
        <w:rPr>
          <w:rFonts w:cstheme="minorHAnsi"/>
        </w:rPr>
        <w:t xml:space="preserve"> with the immunization requirements and has submitted all necessary </w:t>
      </w:r>
      <w:r w:rsidR="00952FD0">
        <w:rPr>
          <w:rFonts w:cstheme="minorHAnsi"/>
        </w:rPr>
        <w:t>materials.</w:t>
      </w:r>
    </w:p>
    <w:p w:rsidR="00193833" w:rsidRDefault="00193833" w:rsidP="00822BC0">
      <w:pPr>
        <w:rPr>
          <w:rFonts w:cstheme="minorHAnsi"/>
        </w:rPr>
      </w:pPr>
    </w:p>
    <w:p w:rsidR="00D606E5" w:rsidRPr="00D606E5" w:rsidRDefault="00D606E5" w:rsidP="00822BC0">
      <w:pPr>
        <w:rPr>
          <w:rFonts w:cstheme="minorHAnsi"/>
          <w:b/>
          <w:u w:val="single"/>
        </w:rPr>
      </w:pPr>
      <w:r w:rsidRPr="00D606E5">
        <w:rPr>
          <w:rFonts w:cstheme="minorHAnsi"/>
          <w:b/>
          <w:u w:val="single"/>
        </w:rPr>
        <w:t>Discretionary Requirements in the Event of an Outbreak</w:t>
      </w:r>
    </w:p>
    <w:p w:rsidR="00D606E5" w:rsidRDefault="00D606E5" w:rsidP="00822BC0">
      <w:pPr>
        <w:rPr>
          <w:rFonts w:cstheme="minorHAnsi"/>
        </w:rPr>
      </w:pPr>
      <w:r>
        <w:rPr>
          <w:rFonts w:cstheme="minorHAnsi"/>
        </w:rPr>
        <w:t xml:space="preserve">The local public health office and/or the California Department of Health </w:t>
      </w:r>
      <w:proofErr w:type="gramStart"/>
      <w:r>
        <w:rPr>
          <w:rFonts w:cstheme="minorHAnsi"/>
        </w:rPr>
        <w:t>is authorized</w:t>
      </w:r>
      <w:proofErr w:type="gramEnd"/>
      <w:r>
        <w:rPr>
          <w:rFonts w:cstheme="minorHAnsi"/>
        </w:rPr>
        <w:t xml:space="preserve"> to require immunizations beyond the requirements above in the event of a local or campus-based outbreak of a vaccine preventable disease.  In the event of an outbreak, Humboldt officials will consult with Humboldt County Department of Health about steps </w:t>
      </w:r>
      <w:r w:rsidR="00871B0F">
        <w:rPr>
          <w:rFonts w:cstheme="minorHAnsi"/>
        </w:rPr>
        <w:t>we will take</w:t>
      </w:r>
      <w:r>
        <w:rPr>
          <w:rFonts w:cstheme="minorHAnsi"/>
        </w:rPr>
        <w:t xml:space="preserve"> in the interest of public safety.</w:t>
      </w:r>
    </w:p>
    <w:p w:rsidR="00D606E5" w:rsidRDefault="00D606E5" w:rsidP="00822BC0">
      <w:pPr>
        <w:rPr>
          <w:rFonts w:cstheme="minorHAnsi"/>
        </w:rPr>
      </w:pPr>
    </w:p>
    <w:p w:rsidR="00D606E5" w:rsidRPr="00E23EBC" w:rsidRDefault="00D5748C" w:rsidP="00822BC0">
      <w:pPr>
        <w:rPr>
          <w:rFonts w:cstheme="minorHAnsi"/>
          <w:b/>
          <w:u w:val="single"/>
        </w:rPr>
      </w:pPr>
      <w:r w:rsidRPr="00E23EBC">
        <w:rPr>
          <w:rFonts w:cstheme="minorHAnsi"/>
          <w:b/>
          <w:u w:val="single"/>
        </w:rPr>
        <w:lastRenderedPageBreak/>
        <w:t>Academic Program &amp; Fieldwork or Clinical Placement Requirements</w:t>
      </w:r>
    </w:p>
    <w:p w:rsidR="00D5748C" w:rsidRDefault="00D5748C" w:rsidP="00822BC0">
      <w:pPr>
        <w:rPr>
          <w:rFonts w:cstheme="minorHAnsi"/>
        </w:rPr>
      </w:pPr>
      <w:r w:rsidRPr="00D5748C">
        <w:rPr>
          <w:rFonts w:cstheme="minorHAnsi"/>
        </w:rPr>
        <w:t>All students enrolled in health care fields of study or teacher education programs are required to provide documentation regarding the completion of immunizations and health screenings as established by the state licensing agencies or clinical placement sites or fieldwork sites.  Students should contact the academic program for the specific required immunizations, health screenings (e.g., TB screening and physical examination) and any other fieldwork or clinical placement requirements.</w:t>
      </w:r>
    </w:p>
    <w:p w:rsidR="00E23EBC" w:rsidRDefault="00E23EBC" w:rsidP="00822BC0">
      <w:pPr>
        <w:rPr>
          <w:rFonts w:cstheme="minorHAnsi"/>
        </w:rPr>
      </w:pPr>
    </w:p>
    <w:p w:rsidR="00871B0F" w:rsidRPr="00871B0F" w:rsidRDefault="00871B0F" w:rsidP="00871B0F">
      <w:pPr>
        <w:rPr>
          <w:rFonts w:cstheme="minorHAnsi"/>
          <w:b/>
          <w:u w:val="single"/>
        </w:rPr>
      </w:pPr>
      <w:r w:rsidRPr="00871B0F">
        <w:rPr>
          <w:rFonts w:cstheme="minorHAnsi"/>
          <w:b/>
          <w:u w:val="single"/>
        </w:rPr>
        <w:t>Immunization Access</w:t>
      </w:r>
    </w:p>
    <w:p w:rsidR="00871B0F" w:rsidRPr="00D5748C" w:rsidRDefault="00871B0F" w:rsidP="00871B0F">
      <w:pPr>
        <w:rPr>
          <w:rFonts w:cstheme="minorHAnsi"/>
        </w:rPr>
      </w:pPr>
      <w:proofErr w:type="gramStart"/>
      <w:r w:rsidRPr="00871B0F">
        <w:rPr>
          <w:rFonts w:cstheme="minorHAnsi"/>
        </w:rPr>
        <w:t>Generally speaking, the</w:t>
      </w:r>
      <w:proofErr w:type="gramEnd"/>
      <w:r w:rsidRPr="00871B0F">
        <w:rPr>
          <w:rFonts w:cstheme="minorHAnsi"/>
        </w:rPr>
        <w:t xml:space="preserve"> majority of students will have had most </w:t>
      </w:r>
      <w:r>
        <w:rPr>
          <w:rFonts w:cstheme="minorHAnsi"/>
        </w:rPr>
        <w:t xml:space="preserve">of the required and recommended </w:t>
      </w:r>
      <w:r w:rsidRPr="00871B0F">
        <w:rPr>
          <w:rFonts w:cstheme="minorHAnsi"/>
        </w:rPr>
        <w:t>immunizations during childhood. Where indicated, SHWS will advise studen</w:t>
      </w:r>
      <w:r>
        <w:rPr>
          <w:rFonts w:cstheme="minorHAnsi"/>
        </w:rPr>
        <w:t xml:space="preserve">ts about how to obtain required </w:t>
      </w:r>
      <w:r w:rsidRPr="00871B0F">
        <w:rPr>
          <w:rFonts w:cstheme="minorHAnsi"/>
        </w:rPr>
        <w:t>and recommended immunizations and health screenings through campus,</w:t>
      </w:r>
      <w:r>
        <w:rPr>
          <w:rFonts w:cstheme="minorHAnsi"/>
        </w:rPr>
        <w:t xml:space="preserve"> private health care providers, </w:t>
      </w:r>
      <w:r w:rsidRPr="00871B0F">
        <w:rPr>
          <w:rFonts w:cstheme="minorHAnsi"/>
        </w:rPr>
        <w:t>local health departments and pharmacies.</w:t>
      </w:r>
    </w:p>
    <w:p w:rsidR="00D5748C" w:rsidRPr="00D5748C" w:rsidRDefault="00D5748C" w:rsidP="00822BC0">
      <w:pPr>
        <w:rPr>
          <w:rFonts w:cstheme="minorHAnsi"/>
        </w:rPr>
      </w:pPr>
    </w:p>
    <w:sectPr w:rsidR="00D5748C" w:rsidRPr="00D5748C" w:rsidSect="006C302A">
      <w:headerReference w:type="first" r:id="rId8"/>
      <w:footerReference w:type="first" r:id="rId9"/>
      <w:pgSz w:w="12240" w:h="15840"/>
      <w:pgMar w:top="1440" w:right="1440" w:bottom="1440" w:left="1440" w:header="108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44C0" w:rsidRDefault="003544C0" w:rsidP="008D0CE0">
      <w:r>
        <w:separator/>
      </w:r>
    </w:p>
  </w:endnote>
  <w:endnote w:type="continuationSeparator" w:id="0">
    <w:p w:rsidR="003544C0" w:rsidRDefault="003544C0" w:rsidP="008D0C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MinionPro-Regular">
    <w:charset w:val="00"/>
    <w:family w:val="auto"/>
    <w:pitch w:val="variable"/>
    <w:sig w:usb0="60000287" w:usb1="00000001" w:usb2="00000000" w:usb3="00000000" w:csb0="0000019F" w:csb1="00000000"/>
  </w:font>
  <w:font w:name="Whitney-Bold">
    <w:altName w:val="Whitney"/>
    <w:charset w:val="00"/>
    <w:family w:val="auto"/>
    <w:pitch w:val="variable"/>
    <w:sig w:usb0="800000AF" w:usb1="50002048" w:usb2="00000000" w:usb3="00000000" w:csb0="00000111" w:csb1="00000000"/>
  </w:font>
  <w:font w:name="Times New Roman (Body CS)">
    <w:panose1 w:val="00000000000000000000"/>
    <w:charset w:val="00"/>
    <w:family w:val="roman"/>
    <w:notTrueType/>
    <w:pitch w:val="default"/>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B454F" w:rsidRDefault="00EB454F" w:rsidP="00EB454F">
    <w:pPr>
      <w:pStyle w:val="Footer"/>
      <w:jc w:val="center"/>
      <w:rPr>
        <w:color w:val="595959" w:themeColor="text1" w:themeTint="A6"/>
        <w:sz w:val="20"/>
        <w:szCs w:val="20"/>
      </w:rPr>
    </w:pPr>
  </w:p>
  <w:p w:rsidR="00EB454F" w:rsidRPr="0085597C" w:rsidRDefault="00EB454F" w:rsidP="00EB454F">
    <w:pPr>
      <w:pStyle w:val="Footer"/>
      <w:jc w:val="center"/>
      <w:rPr>
        <w:rFonts w:cs="Times New Roman (Body CS)"/>
        <w:color w:val="595959" w:themeColor="text1" w:themeTint="A6"/>
        <w:spacing w:val="1"/>
        <w:sz w:val="20"/>
        <w:szCs w:val="20"/>
      </w:rPr>
    </w:pPr>
    <w:r w:rsidRPr="0085597C">
      <w:rPr>
        <w:rFonts w:cs="Times New Roman (Body CS)"/>
        <w:color w:val="595959" w:themeColor="text1" w:themeTint="A6"/>
        <w:spacing w:val="1"/>
        <w:sz w:val="20"/>
        <w:szCs w:val="20"/>
      </w:rPr>
      <w:t xml:space="preserve">1 </w:t>
    </w:r>
    <w:proofErr w:type="spellStart"/>
    <w:r w:rsidRPr="0085597C">
      <w:rPr>
        <w:rFonts w:cs="Times New Roman (Body CS)"/>
        <w:color w:val="595959" w:themeColor="text1" w:themeTint="A6"/>
        <w:spacing w:val="1"/>
        <w:sz w:val="20"/>
        <w:szCs w:val="20"/>
      </w:rPr>
      <w:t>Harpst</w:t>
    </w:r>
    <w:proofErr w:type="spellEnd"/>
    <w:r w:rsidRPr="0085597C">
      <w:rPr>
        <w:rFonts w:cs="Times New Roman (Body CS)"/>
        <w:color w:val="595959" w:themeColor="text1" w:themeTint="A6"/>
        <w:spacing w:val="1"/>
        <w:sz w:val="20"/>
        <w:szCs w:val="20"/>
      </w:rPr>
      <w:t xml:space="preserve"> Street, Arcata, California  95521-</w:t>
    </w:r>
    <w:proofErr w:type="gramStart"/>
    <w:r w:rsidRPr="0085597C">
      <w:rPr>
        <w:rFonts w:cs="Times New Roman (Body CS)"/>
        <w:color w:val="595959" w:themeColor="text1" w:themeTint="A6"/>
        <w:spacing w:val="1"/>
        <w:sz w:val="20"/>
        <w:szCs w:val="20"/>
      </w:rPr>
      <w:t>8299</w:t>
    </w:r>
    <w:r w:rsidRPr="0085597C">
      <w:rPr>
        <w:rFonts w:cs="Times New Roman (Body CS)"/>
        <w:color w:val="595959" w:themeColor="text1" w:themeTint="A6"/>
        <w:spacing w:val="1"/>
      </w:rPr>
      <w:t xml:space="preserve">  </w:t>
    </w:r>
    <w:r w:rsidRPr="0085597C">
      <w:rPr>
        <w:rFonts w:cs="Times New Roman (Body CS)"/>
        <w:color w:val="BFBFBF" w:themeColor="background1" w:themeShade="BF"/>
        <w:spacing w:val="1"/>
        <w:w w:val="50"/>
        <w:position w:val="-4"/>
        <w:sz w:val="40"/>
      </w:rPr>
      <w:t>|</w:t>
    </w:r>
    <w:proofErr w:type="gramEnd"/>
    <w:r w:rsidRPr="0085597C">
      <w:rPr>
        <w:rFonts w:cs="Times New Roman (Body CS)"/>
        <w:color w:val="595959" w:themeColor="text1" w:themeTint="A6"/>
        <w:spacing w:val="1"/>
      </w:rPr>
      <w:t xml:space="preserve">  </w:t>
    </w:r>
    <w:r w:rsidR="00871B0F">
      <w:rPr>
        <w:rFonts w:cs="Times New Roman (Body CS)"/>
        <w:color w:val="595959" w:themeColor="text1" w:themeTint="A6"/>
        <w:spacing w:val="1"/>
        <w:sz w:val="20"/>
        <w:szCs w:val="20"/>
      </w:rPr>
      <w:t>humboldt.edu/wellbeing</w:t>
    </w:r>
  </w:p>
  <w:p w:rsidR="006C302A" w:rsidRDefault="00EB454F">
    <w:pPr>
      <w:pStyle w:val="Footer"/>
    </w:pPr>
    <w:r>
      <w:rPr>
        <w:noProof/>
      </w:rPr>
      <w:drawing>
        <wp:inline distT="0" distB="0" distL="0" distR="0" wp14:anchorId="6EE6DFF1" wp14:editId="2A2A2566">
          <wp:extent cx="5943600" cy="53949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hsuLH_footer.tif"/>
                  <pic:cNvPicPr/>
                </pic:nvPicPr>
                <pic:blipFill>
                  <a:blip r:embed="rId1" cstate="print">
                    <a:extLst>
                      <a:ext uri="{28A0092B-C50C-407E-A947-70E740481C1C}">
                        <a14:useLocalDpi xmlns:a14="http://schemas.microsoft.com/office/drawing/2010/main" val="0"/>
                      </a:ext>
                    </a:extLst>
                  </a:blip>
                  <a:stretch>
                    <a:fillRect/>
                  </a:stretch>
                </pic:blipFill>
                <pic:spPr>
                  <a:xfrm>
                    <a:off x="0" y="0"/>
                    <a:ext cx="5943600" cy="539496"/>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44C0" w:rsidRDefault="003544C0" w:rsidP="008D0CE0">
      <w:r>
        <w:separator/>
      </w:r>
    </w:p>
  </w:footnote>
  <w:footnote w:type="continuationSeparator" w:id="0">
    <w:p w:rsidR="003544C0" w:rsidRDefault="003544C0" w:rsidP="008D0CE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94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6480"/>
      <w:gridCol w:w="3010"/>
    </w:tblGrid>
    <w:tr w:rsidR="00EB454F" w:rsidTr="00031E57">
      <w:tc>
        <w:tcPr>
          <w:tcW w:w="6480" w:type="dxa"/>
        </w:tcPr>
        <w:p w:rsidR="00EB454F" w:rsidRDefault="00407391" w:rsidP="00C64743">
          <w:pPr>
            <w:pStyle w:val="Header"/>
          </w:pPr>
          <w:r>
            <w:rPr>
              <w:noProof/>
            </w:rPr>
            <w:softHyphen/>
          </w:r>
          <w:r w:rsidR="00ED0558">
            <w:rPr>
              <w:noProof/>
            </w:rPr>
            <w:drawing>
              <wp:inline distT="0" distB="0" distL="0" distR="0" wp14:anchorId="5874C4BB" wp14:editId="76E5BE65">
                <wp:extent cx="3714610" cy="25618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3714610" cy="256180"/>
                        </a:xfrm>
                        <a:prstGeom prst="rect">
                          <a:avLst/>
                        </a:prstGeom>
                      </pic:spPr>
                    </pic:pic>
                  </a:graphicData>
                </a:graphic>
              </wp:inline>
            </w:drawing>
          </w:r>
        </w:p>
        <w:p w:rsidR="00EB454F" w:rsidRPr="00D705A0" w:rsidRDefault="00D8062C" w:rsidP="00405906">
          <w:pPr>
            <w:pStyle w:val="BasicParagraph"/>
            <w:spacing w:before="120"/>
            <w:ind w:left="43"/>
            <w:rPr>
              <w:rFonts w:asciiTheme="minorHAnsi" w:hAnsiTheme="minorHAnsi" w:cs="Whitney-Bold"/>
              <w:b/>
              <w:bCs/>
              <w:color w:val="55565A"/>
            </w:rPr>
          </w:pPr>
          <w:r>
            <w:rPr>
              <w:rFonts w:asciiTheme="minorHAnsi" w:hAnsiTheme="minorHAnsi" w:cs="Whitney-Bold"/>
              <w:b/>
              <w:bCs/>
              <w:color w:val="595959" w:themeColor="text1" w:themeTint="A6"/>
            </w:rPr>
            <w:t xml:space="preserve">Student Health &amp; Wellbeing Services, Medical </w:t>
          </w:r>
        </w:p>
      </w:tc>
      <w:tc>
        <w:tcPr>
          <w:tcW w:w="3010" w:type="dxa"/>
          <w:tcMar>
            <w:left w:w="0" w:type="dxa"/>
          </w:tcMar>
        </w:tcPr>
        <w:tbl>
          <w:tblPr>
            <w:tblStyle w:val="TableGrid"/>
            <w:tblW w:w="3010" w:type="dxa"/>
            <w:tblBorders>
              <w:top w:val="none" w:sz="0" w:space="0" w:color="auto"/>
              <w:left w:val="none" w:sz="0" w:space="0" w:color="auto"/>
              <w:bottom w:val="none" w:sz="0" w:space="0" w:color="auto"/>
              <w:right w:val="none" w:sz="0" w:space="0" w:color="auto"/>
              <w:insideH w:val="none" w:sz="0" w:space="0" w:color="auto"/>
              <w:insideV w:val="single" w:sz="4" w:space="0" w:color="00945E"/>
            </w:tblBorders>
            <w:tblLayout w:type="fixed"/>
            <w:tblCellMar>
              <w:left w:w="0" w:type="dxa"/>
              <w:right w:w="0" w:type="dxa"/>
            </w:tblCellMar>
            <w:tblLook w:val="04A0" w:firstRow="1" w:lastRow="0" w:firstColumn="1" w:lastColumn="0" w:noHBand="0" w:noVBand="1"/>
          </w:tblPr>
          <w:tblGrid>
            <w:gridCol w:w="2261"/>
            <w:gridCol w:w="749"/>
          </w:tblGrid>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D8062C" w:rsidRPr="00405906" w:rsidRDefault="00D8062C" w:rsidP="00D8062C">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 xml:space="preserve">707 826-3146 </w:t>
                </w:r>
              </w:p>
            </w:tc>
            <w:tc>
              <w:tcPr>
                <w:tcW w:w="749" w:type="dxa"/>
                <w:tcBorders>
                  <w:left w:val="single" w:sz="4" w:space="0" w:color="D9D9D9" w:themeColor="background1" w:themeShade="D9"/>
                </w:tcBorders>
                <w:tcMar>
                  <w:left w:w="115" w:type="dxa"/>
                  <w:right w:w="0" w:type="dxa"/>
                </w:tcMar>
                <w:vAlign w:val="center"/>
              </w:tcPr>
              <w:p w:rsidR="00D8062C" w:rsidRPr="00405906" w:rsidRDefault="00D8062C" w:rsidP="00D8062C">
                <w:pPr>
                  <w:tabs>
                    <w:tab w:val="left" w:pos="10080"/>
                  </w:tabs>
                  <w:ind w:left="7"/>
                  <w:rPr>
                    <w:rFonts w:cs="Times New Roman (Body CS)"/>
                    <w:color w:val="595959" w:themeColor="text1" w:themeTint="A6"/>
                    <w:spacing w:val="14"/>
                    <w:sz w:val="13"/>
                    <w:szCs w:val="13"/>
                  </w:rPr>
                </w:pPr>
                <w:r>
                  <w:rPr>
                    <w:rFonts w:cs="Times New Roman (Body CS)"/>
                    <w:color w:val="595959" w:themeColor="text1" w:themeTint="A6"/>
                    <w:spacing w:val="14"/>
                    <w:sz w:val="13"/>
                    <w:szCs w:val="13"/>
                  </w:rPr>
                  <w:t>PHONE</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707 826-5042</w:t>
                </w:r>
              </w:p>
            </w:tc>
            <w:tc>
              <w:tcPr>
                <w:tcW w:w="749" w:type="dxa"/>
                <w:tcBorders>
                  <w:left w:val="single" w:sz="4" w:space="0" w:color="D9D9D9" w:themeColor="background1" w:themeShade="D9"/>
                </w:tcBorders>
                <w:tcMar>
                  <w:left w:w="115" w:type="dxa"/>
                  <w:right w:w="0" w:type="dxa"/>
                </w:tcMar>
                <w:vAlign w:val="center"/>
              </w:tcPr>
              <w:p w:rsidR="00EB454F" w:rsidRPr="00405906" w:rsidRDefault="00EB454F" w:rsidP="00405906">
                <w:pPr>
                  <w:tabs>
                    <w:tab w:val="left" w:pos="10080"/>
                  </w:tabs>
                  <w:ind w:left="7"/>
                  <w:rPr>
                    <w:rFonts w:cs="Times New Roman (Body CS)"/>
                    <w:color w:val="595959" w:themeColor="text1" w:themeTint="A6"/>
                    <w:spacing w:val="14"/>
                    <w:sz w:val="13"/>
                    <w:szCs w:val="13"/>
                  </w:rPr>
                </w:pPr>
                <w:r w:rsidRPr="00405906">
                  <w:rPr>
                    <w:rFonts w:cs="Times New Roman (Body CS)"/>
                    <w:color w:val="595959" w:themeColor="text1" w:themeTint="A6"/>
                    <w:spacing w:val="14"/>
                    <w:sz w:val="13"/>
                    <w:szCs w:val="13"/>
                  </w:rPr>
                  <w:t>FAX</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health</w:t>
                </w:r>
                <w:r w:rsidR="00EB454F" w:rsidRPr="00405906">
                  <w:rPr>
                    <w:rFonts w:cs="Times New Roman (Body CS)"/>
                    <w:color w:val="595959" w:themeColor="text1" w:themeTint="A6"/>
                    <w:spacing w:val="2"/>
                    <w:sz w:val="17"/>
                    <w:szCs w:val="17"/>
                  </w:rPr>
                  <w:t>@humboldt.edu</w:t>
                </w:r>
              </w:p>
            </w:tc>
            <w:tc>
              <w:tcPr>
                <w:tcW w:w="749" w:type="dxa"/>
                <w:tcBorders>
                  <w:left w:val="single" w:sz="4" w:space="0" w:color="D9D9D9" w:themeColor="background1" w:themeShade="D9"/>
                </w:tcBorders>
                <w:tcMar>
                  <w:left w:w="115" w:type="dxa"/>
                  <w:right w:w="0" w:type="dxa"/>
                </w:tcMar>
                <w:vAlign w:val="center"/>
              </w:tcPr>
              <w:p w:rsidR="00EB454F" w:rsidRPr="00405906" w:rsidRDefault="00EB454F" w:rsidP="00405906">
                <w:pPr>
                  <w:tabs>
                    <w:tab w:val="left" w:pos="10080"/>
                  </w:tabs>
                  <w:ind w:left="7"/>
                  <w:rPr>
                    <w:rFonts w:cs="Times New Roman (Body CS)"/>
                    <w:color w:val="595959" w:themeColor="text1" w:themeTint="A6"/>
                    <w:spacing w:val="14"/>
                    <w:sz w:val="13"/>
                    <w:szCs w:val="13"/>
                  </w:rPr>
                </w:pPr>
                <w:r w:rsidRPr="00405906">
                  <w:rPr>
                    <w:rFonts w:cs="Times New Roman (Body CS)"/>
                    <w:color w:val="595959" w:themeColor="text1" w:themeTint="A6"/>
                    <w:spacing w:val="14"/>
                    <w:sz w:val="13"/>
                    <w:szCs w:val="13"/>
                  </w:rPr>
                  <w:t>EMAIL</w:t>
                </w:r>
              </w:p>
            </w:tc>
          </w:tr>
          <w:tr w:rsidR="00EB454F" w:rsidTr="00405906">
            <w:trPr>
              <w:trHeight w:val="240"/>
            </w:trPr>
            <w:tc>
              <w:tcPr>
                <w:tcW w:w="2261" w:type="dxa"/>
                <w:tcBorders>
                  <w:right w:val="single" w:sz="4" w:space="0" w:color="D9D9D9" w:themeColor="background1" w:themeShade="D9"/>
                </w:tcBorders>
                <w:tcMar>
                  <w:left w:w="0" w:type="dxa"/>
                  <w:right w:w="115" w:type="dxa"/>
                </w:tcMar>
                <w:vAlign w:val="center"/>
              </w:tcPr>
              <w:p w:rsidR="00EB454F" w:rsidRPr="00405906" w:rsidRDefault="00D8062C" w:rsidP="00405906">
                <w:pPr>
                  <w:tabs>
                    <w:tab w:val="left" w:pos="10080"/>
                  </w:tabs>
                  <w:ind w:right="7"/>
                  <w:jc w:val="right"/>
                  <w:rPr>
                    <w:rFonts w:cs="Times New Roman (Body CS)"/>
                    <w:color w:val="595959" w:themeColor="text1" w:themeTint="A6"/>
                    <w:spacing w:val="2"/>
                    <w:sz w:val="17"/>
                    <w:szCs w:val="17"/>
                  </w:rPr>
                </w:pPr>
                <w:r>
                  <w:rPr>
                    <w:rFonts w:cs="Times New Roman (Body CS)"/>
                    <w:color w:val="595959" w:themeColor="text1" w:themeTint="A6"/>
                    <w:spacing w:val="2"/>
                    <w:sz w:val="17"/>
                    <w:szCs w:val="17"/>
                  </w:rPr>
                  <w:t>wellbeing.humboldt.edu</w:t>
                </w:r>
              </w:p>
            </w:tc>
            <w:tc>
              <w:tcPr>
                <w:tcW w:w="749" w:type="dxa"/>
                <w:tcBorders>
                  <w:left w:val="single" w:sz="4" w:space="0" w:color="D9D9D9" w:themeColor="background1" w:themeShade="D9"/>
                </w:tcBorders>
                <w:tcMar>
                  <w:left w:w="115" w:type="dxa"/>
                  <w:right w:w="0" w:type="dxa"/>
                </w:tcMar>
                <w:vAlign w:val="center"/>
              </w:tcPr>
              <w:p w:rsidR="00EB454F" w:rsidRPr="00405906" w:rsidRDefault="00D8062C" w:rsidP="00405906">
                <w:pPr>
                  <w:tabs>
                    <w:tab w:val="left" w:pos="10080"/>
                  </w:tabs>
                  <w:ind w:left="7"/>
                  <w:rPr>
                    <w:rFonts w:cs="Times New Roman (Body CS)"/>
                    <w:color w:val="595959" w:themeColor="text1" w:themeTint="A6"/>
                    <w:spacing w:val="14"/>
                    <w:sz w:val="13"/>
                    <w:szCs w:val="13"/>
                  </w:rPr>
                </w:pPr>
                <w:r>
                  <w:rPr>
                    <w:rFonts w:cs="Times New Roman (Body CS)"/>
                    <w:color w:val="595959" w:themeColor="text1" w:themeTint="A6"/>
                    <w:spacing w:val="14"/>
                    <w:sz w:val="13"/>
                    <w:szCs w:val="13"/>
                  </w:rPr>
                  <w:t>WEBSITE</w:t>
                </w:r>
              </w:p>
            </w:tc>
          </w:tr>
        </w:tbl>
        <w:p w:rsidR="00EB454F" w:rsidRDefault="00EB454F" w:rsidP="00C64743">
          <w:pPr>
            <w:tabs>
              <w:tab w:val="left" w:pos="10080"/>
            </w:tabs>
          </w:pPr>
        </w:p>
      </w:tc>
    </w:tr>
  </w:tbl>
  <w:p w:rsidR="006C302A" w:rsidRDefault="006C302A" w:rsidP="006C302A">
    <w:pPr>
      <w:pStyle w:val="Header"/>
    </w:pPr>
  </w:p>
  <w:p w:rsidR="00EB454F" w:rsidRPr="006C302A" w:rsidRDefault="00EB454F" w:rsidP="006C302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E021E93"/>
    <w:multiLevelType w:val="hybridMultilevel"/>
    <w:tmpl w:val="5C0C8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65463F"/>
    <w:multiLevelType w:val="hybridMultilevel"/>
    <w:tmpl w:val="4C12DE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AE03DC3"/>
    <w:multiLevelType w:val="hybridMultilevel"/>
    <w:tmpl w:val="53F43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3FA0"/>
    <w:rsid w:val="00006E2E"/>
    <w:rsid w:val="00023D8D"/>
    <w:rsid w:val="00031E57"/>
    <w:rsid w:val="000C1259"/>
    <w:rsid w:val="00193833"/>
    <w:rsid w:val="001A3147"/>
    <w:rsid w:val="001D32F5"/>
    <w:rsid w:val="00275F0E"/>
    <w:rsid w:val="002A2B1C"/>
    <w:rsid w:val="002B3B0D"/>
    <w:rsid w:val="002D6111"/>
    <w:rsid w:val="003015E3"/>
    <w:rsid w:val="00312024"/>
    <w:rsid w:val="003544C0"/>
    <w:rsid w:val="003546A1"/>
    <w:rsid w:val="003A0D83"/>
    <w:rsid w:val="00405906"/>
    <w:rsid w:val="00407391"/>
    <w:rsid w:val="004A4DE7"/>
    <w:rsid w:val="004D7B0A"/>
    <w:rsid w:val="00520F9D"/>
    <w:rsid w:val="005255EE"/>
    <w:rsid w:val="005722D6"/>
    <w:rsid w:val="005C3197"/>
    <w:rsid w:val="005C4624"/>
    <w:rsid w:val="006C302A"/>
    <w:rsid w:val="0072323D"/>
    <w:rsid w:val="007B0E66"/>
    <w:rsid w:val="007C2DD4"/>
    <w:rsid w:val="007D67F1"/>
    <w:rsid w:val="007F7AA6"/>
    <w:rsid w:val="00822BC0"/>
    <w:rsid w:val="0083087F"/>
    <w:rsid w:val="008438FF"/>
    <w:rsid w:val="00847DD7"/>
    <w:rsid w:val="0085597C"/>
    <w:rsid w:val="00871B0F"/>
    <w:rsid w:val="008C1A02"/>
    <w:rsid w:val="008C7C46"/>
    <w:rsid w:val="008D0CE0"/>
    <w:rsid w:val="008D260A"/>
    <w:rsid w:val="008E6DCE"/>
    <w:rsid w:val="009271E5"/>
    <w:rsid w:val="00952FD0"/>
    <w:rsid w:val="00980100"/>
    <w:rsid w:val="009C01CF"/>
    <w:rsid w:val="009D6AA6"/>
    <w:rsid w:val="009E4A10"/>
    <w:rsid w:val="00A34F5B"/>
    <w:rsid w:val="00A36945"/>
    <w:rsid w:val="00AC36BD"/>
    <w:rsid w:val="00AF1C9E"/>
    <w:rsid w:val="00B6388C"/>
    <w:rsid w:val="00BB79A0"/>
    <w:rsid w:val="00BC134B"/>
    <w:rsid w:val="00BC3FA0"/>
    <w:rsid w:val="00BC6B94"/>
    <w:rsid w:val="00C229BD"/>
    <w:rsid w:val="00D5748C"/>
    <w:rsid w:val="00D606E5"/>
    <w:rsid w:val="00D705A0"/>
    <w:rsid w:val="00D8062C"/>
    <w:rsid w:val="00DB1EE6"/>
    <w:rsid w:val="00DC69F9"/>
    <w:rsid w:val="00DE1CC5"/>
    <w:rsid w:val="00DE548B"/>
    <w:rsid w:val="00E23EBC"/>
    <w:rsid w:val="00E35729"/>
    <w:rsid w:val="00E37350"/>
    <w:rsid w:val="00E63BBD"/>
    <w:rsid w:val="00E969F9"/>
    <w:rsid w:val="00EA0FB8"/>
    <w:rsid w:val="00EA1158"/>
    <w:rsid w:val="00EB298A"/>
    <w:rsid w:val="00EB454F"/>
    <w:rsid w:val="00EB6302"/>
    <w:rsid w:val="00ED0558"/>
    <w:rsid w:val="00F64FC0"/>
    <w:rsid w:val="00F76950"/>
    <w:rsid w:val="00F853D0"/>
    <w:rsid w:val="00FB306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E5ADF0"/>
  <w15:chartTrackingRefBased/>
  <w15:docId w15:val="{7C4775FD-363B-4CF5-919A-226600B387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EA0FB8"/>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D0CE0"/>
    <w:pPr>
      <w:tabs>
        <w:tab w:val="center" w:pos="4680"/>
        <w:tab w:val="right" w:pos="9360"/>
      </w:tabs>
    </w:pPr>
  </w:style>
  <w:style w:type="character" w:customStyle="1" w:styleId="HeaderChar">
    <w:name w:val="Header Char"/>
    <w:basedOn w:val="DefaultParagraphFont"/>
    <w:link w:val="Header"/>
    <w:uiPriority w:val="99"/>
    <w:rsid w:val="008D0CE0"/>
  </w:style>
  <w:style w:type="paragraph" w:styleId="Footer">
    <w:name w:val="footer"/>
    <w:basedOn w:val="Normal"/>
    <w:link w:val="FooterChar"/>
    <w:uiPriority w:val="99"/>
    <w:unhideWhenUsed/>
    <w:rsid w:val="008D0CE0"/>
    <w:pPr>
      <w:tabs>
        <w:tab w:val="center" w:pos="4680"/>
        <w:tab w:val="right" w:pos="9360"/>
      </w:tabs>
    </w:pPr>
  </w:style>
  <w:style w:type="character" w:customStyle="1" w:styleId="FooterChar">
    <w:name w:val="Footer Char"/>
    <w:basedOn w:val="DefaultParagraphFont"/>
    <w:link w:val="Footer"/>
    <w:uiPriority w:val="99"/>
    <w:rsid w:val="008D0CE0"/>
  </w:style>
  <w:style w:type="table" w:styleId="TableGrid">
    <w:name w:val="Table Grid"/>
    <w:basedOn w:val="TableNormal"/>
    <w:uiPriority w:val="39"/>
    <w:rsid w:val="00F769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Paragraph">
    <w:name w:val="[Basic Paragraph]"/>
    <w:basedOn w:val="Normal"/>
    <w:uiPriority w:val="99"/>
    <w:rsid w:val="003546A1"/>
    <w:pPr>
      <w:widowControl w:val="0"/>
      <w:autoSpaceDE w:val="0"/>
      <w:autoSpaceDN w:val="0"/>
      <w:adjustRightInd w:val="0"/>
      <w:spacing w:line="288" w:lineRule="auto"/>
      <w:textAlignment w:val="center"/>
    </w:pPr>
    <w:rPr>
      <w:rFonts w:ascii="MinionPro-Regular" w:hAnsi="MinionPro-Regular" w:cs="MinionPro-Regular"/>
      <w:color w:val="000000"/>
    </w:rPr>
  </w:style>
  <w:style w:type="character" w:customStyle="1" w:styleId="Heading1Char">
    <w:name w:val="Heading 1 Char"/>
    <w:basedOn w:val="DefaultParagraphFont"/>
    <w:link w:val="Heading1"/>
    <w:uiPriority w:val="9"/>
    <w:rsid w:val="00EA0FB8"/>
    <w:rPr>
      <w:rFonts w:asciiTheme="majorHAnsi" w:eastAsiaTheme="majorEastAsia" w:hAnsiTheme="majorHAnsi" w:cstheme="majorBidi"/>
      <w:color w:val="2E74B5" w:themeColor="accent1" w:themeShade="BF"/>
      <w:sz w:val="32"/>
      <w:szCs w:val="32"/>
    </w:rPr>
  </w:style>
  <w:style w:type="paragraph" w:styleId="NormalWeb">
    <w:name w:val="Normal (Web)"/>
    <w:basedOn w:val="Normal"/>
    <w:uiPriority w:val="99"/>
    <w:semiHidden/>
    <w:unhideWhenUsed/>
    <w:rsid w:val="00EB298A"/>
    <w:pPr>
      <w:spacing w:before="100" w:beforeAutospacing="1" w:after="100" w:afterAutospacing="1"/>
    </w:pPr>
    <w:rPr>
      <w:rFonts w:ascii="Times New Roman" w:eastAsia="Times New Roman" w:hAnsi="Times New Roman" w:cs="Times New Roman"/>
      <w:lang w:eastAsia="ja-JP"/>
    </w:rPr>
  </w:style>
  <w:style w:type="paragraph" w:styleId="ListParagraph">
    <w:name w:val="List Paragraph"/>
    <w:basedOn w:val="Normal"/>
    <w:uiPriority w:val="34"/>
    <w:qFormat/>
    <w:rsid w:val="008E6DCE"/>
    <w:pPr>
      <w:ind w:left="720"/>
      <w:contextualSpacing/>
    </w:pPr>
  </w:style>
  <w:style w:type="character" w:styleId="Hyperlink">
    <w:name w:val="Hyperlink"/>
    <w:basedOn w:val="DefaultParagraphFont"/>
    <w:uiPriority w:val="99"/>
    <w:unhideWhenUsed/>
    <w:rsid w:val="00E3572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136331">
      <w:bodyDiv w:val="1"/>
      <w:marLeft w:val="0"/>
      <w:marRight w:val="0"/>
      <w:marTop w:val="0"/>
      <w:marBottom w:val="0"/>
      <w:divBdr>
        <w:top w:val="none" w:sz="0" w:space="0" w:color="auto"/>
        <w:left w:val="none" w:sz="0" w:space="0" w:color="auto"/>
        <w:bottom w:val="none" w:sz="0" w:space="0" w:color="auto"/>
        <w:right w:val="none" w:sz="0" w:space="0" w:color="auto"/>
      </w:divBdr>
    </w:div>
    <w:div w:id="949629631">
      <w:bodyDiv w:val="1"/>
      <w:marLeft w:val="0"/>
      <w:marRight w:val="0"/>
      <w:marTop w:val="0"/>
      <w:marBottom w:val="0"/>
      <w:divBdr>
        <w:top w:val="none" w:sz="0" w:space="0" w:color="auto"/>
        <w:left w:val="none" w:sz="0" w:space="0" w:color="auto"/>
        <w:bottom w:val="none" w:sz="0" w:space="0" w:color="auto"/>
        <w:right w:val="none" w:sz="0" w:space="0" w:color="auto"/>
      </w:divBdr>
    </w:div>
    <w:div w:id="983655402">
      <w:bodyDiv w:val="1"/>
      <w:marLeft w:val="0"/>
      <w:marRight w:val="0"/>
      <w:marTop w:val="0"/>
      <w:marBottom w:val="0"/>
      <w:divBdr>
        <w:top w:val="none" w:sz="0" w:space="0" w:color="auto"/>
        <w:left w:val="none" w:sz="0" w:space="0" w:color="auto"/>
        <w:bottom w:val="none" w:sz="0" w:space="0" w:color="auto"/>
        <w:right w:val="none" w:sz="0" w:space="0" w:color="auto"/>
      </w:divBdr>
    </w:div>
    <w:div w:id="1553998682">
      <w:bodyDiv w:val="1"/>
      <w:marLeft w:val="0"/>
      <w:marRight w:val="0"/>
      <w:marTop w:val="0"/>
      <w:marBottom w:val="0"/>
      <w:divBdr>
        <w:top w:val="none" w:sz="0" w:space="0" w:color="auto"/>
        <w:left w:val="none" w:sz="0" w:space="0" w:color="auto"/>
        <w:bottom w:val="none" w:sz="0" w:space="0" w:color="auto"/>
        <w:right w:val="none" w:sz="0" w:space="0" w:color="auto"/>
      </w:divBdr>
    </w:div>
    <w:div w:id="1799180132">
      <w:bodyDiv w:val="1"/>
      <w:marLeft w:val="0"/>
      <w:marRight w:val="0"/>
      <w:marTop w:val="0"/>
      <w:marBottom w:val="0"/>
      <w:divBdr>
        <w:top w:val="none" w:sz="0" w:space="0" w:color="auto"/>
        <w:left w:val="none" w:sz="0" w:space="0" w:color="auto"/>
        <w:bottom w:val="none" w:sz="0" w:space="0" w:color="auto"/>
        <w:right w:val="none" w:sz="0" w:space="0" w:color="auto"/>
      </w:divBdr>
    </w:div>
    <w:div w:id="1966109158">
      <w:bodyDiv w:val="1"/>
      <w:marLeft w:val="0"/>
      <w:marRight w:val="0"/>
      <w:marTop w:val="0"/>
      <w:marBottom w:val="0"/>
      <w:divBdr>
        <w:top w:val="none" w:sz="0" w:space="0" w:color="auto"/>
        <w:left w:val="none" w:sz="0" w:space="0" w:color="auto"/>
        <w:bottom w:val="none" w:sz="0" w:space="0" w:color="auto"/>
        <w:right w:val="none" w:sz="0" w:space="0" w:color="auto"/>
      </w:divBdr>
    </w:div>
    <w:div w:id="2039315057">
      <w:bodyDiv w:val="1"/>
      <w:marLeft w:val="0"/>
      <w:marRight w:val="0"/>
      <w:marTop w:val="0"/>
      <w:marBottom w:val="0"/>
      <w:divBdr>
        <w:top w:val="none" w:sz="0" w:space="0" w:color="auto"/>
        <w:left w:val="none" w:sz="0" w:space="0" w:color="auto"/>
        <w:bottom w:val="none" w:sz="0" w:space="0" w:color="auto"/>
        <w:right w:val="none" w:sz="0" w:space="0" w:color="auto"/>
      </w:divBdr>
    </w:div>
    <w:div w:id="20756171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ellbeing.humboldt.edu/immunization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tif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ks19\AppData\Local\Temp\Temp1_msword_letterhead.zip\calPolyHumboldt_Letterhead_fullColor.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calPolyHumboldt_Letterhead_fullColor</Template>
  <TotalTime>2706</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jks19</dc:creator>
  <cp:keywords/>
  <dc:description/>
  <cp:lastModifiedBy>Jennifer Sanford</cp:lastModifiedBy>
  <cp:revision>9</cp:revision>
  <cp:lastPrinted>2022-01-13T18:57:00Z</cp:lastPrinted>
  <dcterms:created xsi:type="dcterms:W3CDTF">2023-03-07T19:59:00Z</dcterms:created>
  <dcterms:modified xsi:type="dcterms:W3CDTF">2023-04-12T19:27:00Z</dcterms:modified>
</cp:coreProperties>
</file>